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3E1C3956" w14:textId="308657CF" w:rsidR="00D95A6D"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186020104" w:history="1">
            <w:r w:rsidR="00D95A6D" w:rsidRPr="00967B74">
              <w:rPr>
                <w:rStyle w:val="ab"/>
              </w:rPr>
              <w:t>1.</w:t>
            </w:r>
            <w:r w:rsidR="00D95A6D">
              <w:rPr>
                <w:rFonts w:asciiTheme="minorHAnsi" w:eastAsiaTheme="minorEastAsia" w:hAnsiTheme="minorHAnsi" w:cstheme="minorBidi"/>
                <w:sz w:val="22"/>
                <w:szCs w:val="22"/>
                <w:lang w:eastAsia="ru-RU"/>
              </w:rPr>
              <w:tab/>
            </w:r>
            <w:r w:rsidR="00D95A6D" w:rsidRPr="00967B74">
              <w:rPr>
                <w:rStyle w:val="ab"/>
              </w:rPr>
              <w:t>ОПРЕДЕЛЕНИЯ</w:t>
            </w:r>
            <w:r w:rsidR="00D95A6D">
              <w:rPr>
                <w:webHidden/>
              </w:rPr>
              <w:tab/>
            </w:r>
            <w:r w:rsidR="00D95A6D">
              <w:rPr>
                <w:webHidden/>
              </w:rPr>
              <w:fldChar w:fldCharType="begin"/>
            </w:r>
            <w:r w:rsidR="00D95A6D">
              <w:rPr>
                <w:webHidden/>
              </w:rPr>
              <w:instrText xml:space="preserve"> PAGEREF _Toc186020104 \h </w:instrText>
            </w:r>
            <w:r w:rsidR="00D95A6D">
              <w:rPr>
                <w:webHidden/>
              </w:rPr>
            </w:r>
            <w:r w:rsidR="00D95A6D">
              <w:rPr>
                <w:webHidden/>
              </w:rPr>
              <w:fldChar w:fldCharType="separate"/>
            </w:r>
            <w:r w:rsidR="00D95A6D">
              <w:rPr>
                <w:webHidden/>
              </w:rPr>
              <w:t>2</w:t>
            </w:r>
            <w:r w:rsidR="00D95A6D">
              <w:rPr>
                <w:webHidden/>
              </w:rPr>
              <w:fldChar w:fldCharType="end"/>
            </w:r>
          </w:hyperlink>
        </w:p>
        <w:p w14:paraId="5BD05B14" w14:textId="5DDE5BD2" w:rsidR="00D95A6D" w:rsidRDefault="00D95A6D">
          <w:pPr>
            <w:pStyle w:val="10"/>
            <w:rPr>
              <w:rFonts w:asciiTheme="minorHAnsi" w:eastAsiaTheme="minorEastAsia" w:hAnsiTheme="minorHAnsi" w:cstheme="minorBidi"/>
              <w:sz w:val="22"/>
              <w:szCs w:val="22"/>
              <w:lang w:eastAsia="ru-RU"/>
            </w:rPr>
          </w:pPr>
          <w:hyperlink w:anchor="_Toc186020105" w:history="1">
            <w:r w:rsidRPr="00967B74">
              <w:rPr>
                <w:rStyle w:val="ab"/>
              </w:rPr>
              <w:t>2.</w:t>
            </w:r>
            <w:r>
              <w:rPr>
                <w:rFonts w:asciiTheme="minorHAnsi" w:eastAsiaTheme="minorEastAsia" w:hAnsiTheme="minorHAnsi" w:cstheme="minorBidi"/>
                <w:sz w:val="22"/>
                <w:szCs w:val="22"/>
                <w:lang w:eastAsia="ru-RU"/>
              </w:rPr>
              <w:tab/>
            </w:r>
            <w:r w:rsidRPr="00967B74">
              <w:rPr>
                <w:rStyle w:val="ab"/>
              </w:rPr>
              <w:t>ПРЕДСТАВЛЕНИЕ ПРЕДЛОЖЕНИЯ</w:t>
            </w:r>
            <w:r>
              <w:rPr>
                <w:webHidden/>
              </w:rPr>
              <w:tab/>
            </w:r>
            <w:r>
              <w:rPr>
                <w:webHidden/>
              </w:rPr>
              <w:fldChar w:fldCharType="begin"/>
            </w:r>
            <w:r>
              <w:rPr>
                <w:webHidden/>
              </w:rPr>
              <w:instrText xml:space="preserve"> PAGEREF _Toc186020105 \h </w:instrText>
            </w:r>
            <w:r>
              <w:rPr>
                <w:webHidden/>
              </w:rPr>
            </w:r>
            <w:r>
              <w:rPr>
                <w:webHidden/>
              </w:rPr>
              <w:fldChar w:fldCharType="separate"/>
            </w:r>
            <w:r>
              <w:rPr>
                <w:webHidden/>
              </w:rPr>
              <w:t>2</w:t>
            </w:r>
            <w:r>
              <w:rPr>
                <w:webHidden/>
              </w:rPr>
              <w:fldChar w:fldCharType="end"/>
            </w:r>
          </w:hyperlink>
        </w:p>
        <w:p w14:paraId="6342E901" w14:textId="46D5E6DD" w:rsidR="00D95A6D" w:rsidRDefault="00D95A6D">
          <w:pPr>
            <w:pStyle w:val="10"/>
            <w:rPr>
              <w:rFonts w:asciiTheme="minorHAnsi" w:eastAsiaTheme="minorEastAsia" w:hAnsiTheme="minorHAnsi" w:cstheme="minorBidi"/>
              <w:sz w:val="22"/>
              <w:szCs w:val="22"/>
              <w:lang w:eastAsia="ru-RU"/>
            </w:rPr>
          </w:pPr>
          <w:hyperlink w:anchor="_Toc186020106" w:history="1">
            <w:r w:rsidRPr="00967B74">
              <w:rPr>
                <w:rStyle w:val="ab"/>
              </w:rPr>
              <w:t>3.</w:t>
            </w:r>
            <w:r>
              <w:rPr>
                <w:rFonts w:asciiTheme="minorHAnsi" w:eastAsiaTheme="minorEastAsia" w:hAnsiTheme="minorHAnsi" w:cstheme="minorBidi"/>
                <w:sz w:val="22"/>
                <w:szCs w:val="22"/>
                <w:lang w:eastAsia="ru-RU"/>
              </w:rPr>
              <w:tab/>
            </w:r>
            <w:r w:rsidRPr="00967B74">
              <w:rPr>
                <w:rStyle w:val="ab"/>
              </w:rPr>
              <w:t>ПОДГОТОВИТЕЛЬНЫЕ РАСХОДЫ</w:t>
            </w:r>
            <w:r>
              <w:rPr>
                <w:webHidden/>
              </w:rPr>
              <w:tab/>
            </w:r>
            <w:r>
              <w:rPr>
                <w:webHidden/>
              </w:rPr>
              <w:fldChar w:fldCharType="begin"/>
            </w:r>
            <w:r>
              <w:rPr>
                <w:webHidden/>
              </w:rPr>
              <w:instrText xml:space="preserve"> PAGEREF _Toc186020106 \h </w:instrText>
            </w:r>
            <w:r>
              <w:rPr>
                <w:webHidden/>
              </w:rPr>
            </w:r>
            <w:r>
              <w:rPr>
                <w:webHidden/>
              </w:rPr>
              <w:fldChar w:fldCharType="separate"/>
            </w:r>
            <w:r>
              <w:rPr>
                <w:webHidden/>
              </w:rPr>
              <w:t>3</w:t>
            </w:r>
            <w:r>
              <w:rPr>
                <w:webHidden/>
              </w:rPr>
              <w:fldChar w:fldCharType="end"/>
            </w:r>
          </w:hyperlink>
        </w:p>
        <w:p w14:paraId="18F1A3EE" w14:textId="4B69C683" w:rsidR="00D95A6D" w:rsidRDefault="00D95A6D">
          <w:pPr>
            <w:pStyle w:val="10"/>
            <w:rPr>
              <w:rFonts w:asciiTheme="minorHAnsi" w:eastAsiaTheme="minorEastAsia" w:hAnsiTheme="minorHAnsi" w:cstheme="minorBidi"/>
              <w:sz w:val="22"/>
              <w:szCs w:val="22"/>
              <w:lang w:eastAsia="ru-RU"/>
            </w:rPr>
          </w:pPr>
          <w:hyperlink w:anchor="_Toc186020107" w:history="1">
            <w:r w:rsidRPr="00967B74">
              <w:rPr>
                <w:rStyle w:val="ab"/>
              </w:rPr>
              <w:t>4.</w:t>
            </w:r>
            <w:r>
              <w:rPr>
                <w:rFonts w:asciiTheme="minorHAnsi" w:eastAsiaTheme="minorEastAsia" w:hAnsiTheme="minorHAnsi" w:cstheme="minorBidi"/>
                <w:sz w:val="22"/>
                <w:szCs w:val="22"/>
                <w:lang w:eastAsia="ru-RU"/>
              </w:rPr>
              <w:tab/>
            </w:r>
            <w:r w:rsidRPr="00967B74">
              <w:rPr>
                <w:rStyle w:val="ab"/>
              </w:rPr>
              <w:t>ПОДТВЕРЖДЕНИЕ</w:t>
            </w:r>
            <w:r>
              <w:rPr>
                <w:webHidden/>
              </w:rPr>
              <w:tab/>
            </w:r>
            <w:r>
              <w:rPr>
                <w:webHidden/>
              </w:rPr>
              <w:fldChar w:fldCharType="begin"/>
            </w:r>
            <w:r>
              <w:rPr>
                <w:webHidden/>
              </w:rPr>
              <w:instrText xml:space="preserve"> PAGEREF _Toc186020107 \h </w:instrText>
            </w:r>
            <w:r>
              <w:rPr>
                <w:webHidden/>
              </w:rPr>
            </w:r>
            <w:r>
              <w:rPr>
                <w:webHidden/>
              </w:rPr>
              <w:fldChar w:fldCharType="separate"/>
            </w:r>
            <w:r>
              <w:rPr>
                <w:webHidden/>
              </w:rPr>
              <w:t>3</w:t>
            </w:r>
            <w:r>
              <w:rPr>
                <w:webHidden/>
              </w:rPr>
              <w:fldChar w:fldCharType="end"/>
            </w:r>
          </w:hyperlink>
        </w:p>
        <w:p w14:paraId="092AAFC4" w14:textId="7C587226" w:rsidR="00D95A6D" w:rsidRDefault="00D95A6D">
          <w:pPr>
            <w:pStyle w:val="10"/>
            <w:rPr>
              <w:rFonts w:asciiTheme="minorHAnsi" w:eastAsiaTheme="minorEastAsia" w:hAnsiTheme="minorHAnsi" w:cstheme="minorBidi"/>
              <w:sz w:val="22"/>
              <w:szCs w:val="22"/>
              <w:lang w:eastAsia="ru-RU"/>
            </w:rPr>
          </w:pPr>
          <w:hyperlink w:anchor="_Toc186020108" w:history="1">
            <w:r w:rsidRPr="00967B74">
              <w:rPr>
                <w:rStyle w:val="ab"/>
              </w:rPr>
              <w:t>5.</w:t>
            </w:r>
            <w:r>
              <w:rPr>
                <w:rFonts w:asciiTheme="minorHAnsi" w:eastAsiaTheme="minorEastAsia" w:hAnsiTheme="minorHAnsi" w:cstheme="minorBidi"/>
                <w:sz w:val="22"/>
                <w:szCs w:val="22"/>
                <w:lang w:eastAsia="ru-RU"/>
              </w:rPr>
              <w:tab/>
            </w:r>
            <w:r w:rsidRPr="00967B74">
              <w:rPr>
                <w:rStyle w:val="ab"/>
              </w:rPr>
              <w:t>ПРАВО ВЫБОРА</w:t>
            </w:r>
            <w:r>
              <w:rPr>
                <w:webHidden/>
              </w:rPr>
              <w:tab/>
            </w:r>
            <w:r>
              <w:rPr>
                <w:webHidden/>
              </w:rPr>
              <w:fldChar w:fldCharType="begin"/>
            </w:r>
            <w:r>
              <w:rPr>
                <w:webHidden/>
              </w:rPr>
              <w:instrText xml:space="preserve"> PAGEREF _Toc186020108 \h </w:instrText>
            </w:r>
            <w:r>
              <w:rPr>
                <w:webHidden/>
              </w:rPr>
            </w:r>
            <w:r>
              <w:rPr>
                <w:webHidden/>
              </w:rPr>
              <w:fldChar w:fldCharType="separate"/>
            </w:r>
            <w:r>
              <w:rPr>
                <w:webHidden/>
              </w:rPr>
              <w:t>3</w:t>
            </w:r>
            <w:r>
              <w:rPr>
                <w:webHidden/>
              </w:rPr>
              <w:fldChar w:fldCharType="end"/>
            </w:r>
          </w:hyperlink>
        </w:p>
        <w:p w14:paraId="45A59E90" w14:textId="77085026" w:rsidR="00D95A6D" w:rsidRDefault="00D95A6D">
          <w:pPr>
            <w:pStyle w:val="10"/>
            <w:rPr>
              <w:rFonts w:asciiTheme="minorHAnsi" w:eastAsiaTheme="minorEastAsia" w:hAnsiTheme="minorHAnsi" w:cstheme="minorBidi"/>
              <w:sz w:val="22"/>
              <w:szCs w:val="22"/>
              <w:lang w:eastAsia="ru-RU"/>
            </w:rPr>
          </w:pPr>
          <w:hyperlink w:anchor="_Toc186020109" w:history="1">
            <w:r w:rsidRPr="00967B74">
              <w:rPr>
                <w:rStyle w:val="ab"/>
              </w:rPr>
              <w:t>6.</w:t>
            </w:r>
            <w:r>
              <w:rPr>
                <w:rFonts w:asciiTheme="minorHAnsi" w:eastAsiaTheme="minorEastAsia" w:hAnsiTheme="minorHAnsi" w:cstheme="minorBidi"/>
                <w:sz w:val="22"/>
                <w:szCs w:val="22"/>
                <w:lang w:eastAsia="ru-RU"/>
              </w:rPr>
              <w:tab/>
            </w:r>
            <w:r w:rsidRPr="00967B74">
              <w:rPr>
                <w:rStyle w:val="ab"/>
              </w:rPr>
              <w:t>ИЗМЕНЕНИЕ И ОТЗЫВ ПРЕДЛОЖЕНИЯ УЧАСТНИКА ТЕНДЕРА</w:t>
            </w:r>
            <w:r>
              <w:rPr>
                <w:webHidden/>
              </w:rPr>
              <w:tab/>
            </w:r>
            <w:r>
              <w:rPr>
                <w:webHidden/>
              </w:rPr>
              <w:fldChar w:fldCharType="begin"/>
            </w:r>
            <w:r>
              <w:rPr>
                <w:webHidden/>
              </w:rPr>
              <w:instrText xml:space="preserve"> PAGEREF _Toc186020109 \h </w:instrText>
            </w:r>
            <w:r>
              <w:rPr>
                <w:webHidden/>
              </w:rPr>
            </w:r>
            <w:r>
              <w:rPr>
                <w:webHidden/>
              </w:rPr>
              <w:fldChar w:fldCharType="separate"/>
            </w:r>
            <w:r>
              <w:rPr>
                <w:webHidden/>
              </w:rPr>
              <w:t>3</w:t>
            </w:r>
            <w:r>
              <w:rPr>
                <w:webHidden/>
              </w:rPr>
              <w:fldChar w:fldCharType="end"/>
            </w:r>
          </w:hyperlink>
        </w:p>
        <w:p w14:paraId="7DC0C22A" w14:textId="457D7A0C" w:rsidR="00D95A6D" w:rsidRDefault="00D95A6D">
          <w:pPr>
            <w:pStyle w:val="10"/>
            <w:rPr>
              <w:rFonts w:asciiTheme="minorHAnsi" w:eastAsiaTheme="minorEastAsia" w:hAnsiTheme="minorHAnsi" w:cstheme="minorBidi"/>
              <w:sz w:val="22"/>
              <w:szCs w:val="22"/>
              <w:lang w:eastAsia="ru-RU"/>
            </w:rPr>
          </w:pPr>
          <w:hyperlink w:anchor="_Toc186020110" w:history="1">
            <w:r w:rsidRPr="00967B74">
              <w:rPr>
                <w:rStyle w:val="ab"/>
              </w:rPr>
              <w:t>7.</w:t>
            </w:r>
            <w:r>
              <w:rPr>
                <w:rFonts w:asciiTheme="minorHAnsi" w:eastAsiaTheme="minorEastAsia" w:hAnsiTheme="minorHAnsi" w:cstheme="minorBidi"/>
                <w:sz w:val="22"/>
                <w:szCs w:val="22"/>
                <w:lang w:eastAsia="ru-RU"/>
              </w:rPr>
              <w:tab/>
            </w:r>
            <w:r w:rsidRPr="00967B74">
              <w:rPr>
                <w:rStyle w:val="ab"/>
              </w:rPr>
              <w:t>РАСЦЕНКИ</w:t>
            </w:r>
            <w:r>
              <w:rPr>
                <w:webHidden/>
              </w:rPr>
              <w:tab/>
            </w:r>
            <w:r>
              <w:rPr>
                <w:webHidden/>
              </w:rPr>
              <w:fldChar w:fldCharType="begin"/>
            </w:r>
            <w:r>
              <w:rPr>
                <w:webHidden/>
              </w:rPr>
              <w:instrText xml:space="preserve"> PAGEREF _Toc186020110 \h </w:instrText>
            </w:r>
            <w:r>
              <w:rPr>
                <w:webHidden/>
              </w:rPr>
            </w:r>
            <w:r>
              <w:rPr>
                <w:webHidden/>
              </w:rPr>
              <w:fldChar w:fldCharType="separate"/>
            </w:r>
            <w:r>
              <w:rPr>
                <w:webHidden/>
              </w:rPr>
              <w:t>4</w:t>
            </w:r>
            <w:r>
              <w:rPr>
                <w:webHidden/>
              </w:rPr>
              <w:fldChar w:fldCharType="end"/>
            </w:r>
          </w:hyperlink>
        </w:p>
        <w:p w14:paraId="66E5CCE0" w14:textId="239DD45A" w:rsidR="00D95A6D" w:rsidRDefault="00D95A6D">
          <w:pPr>
            <w:pStyle w:val="10"/>
            <w:rPr>
              <w:rFonts w:asciiTheme="minorHAnsi" w:eastAsiaTheme="minorEastAsia" w:hAnsiTheme="minorHAnsi" w:cstheme="minorBidi"/>
              <w:sz w:val="22"/>
              <w:szCs w:val="22"/>
              <w:lang w:eastAsia="ru-RU"/>
            </w:rPr>
          </w:pPr>
          <w:hyperlink w:anchor="_Toc186020111" w:history="1">
            <w:r w:rsidRPr="00967B74">
              <w:rPr>
                <w:rStyle w:val="ab"/>
              </w:rPr>
              <w:t>8.</w:t>
            </w:r>
            <w:r>
              <w:rPr>
                <w:rFonts w:asciiTheme="minorHAnsi" w:eastAsiaTheme="minorEastAsia" w:hAnsiTheme="minorHAnsi" w:cstheme="minorBidi"/>
                <w:sz w:val="22"/>
                <w:szCs w:val="22"/>
                <w:lang w:eastAsia="ru-RU"/>
              </w:rPr>
              <w:tab/>
            </w:r>
            <w:r w:rsidRPr="00967B74">
              <w:rPr>
                <w:rStyle w:val="ab"/>
              </w:rPr>
              <w:t>ИСКЛЮЧЕНИЯ И ОТКЛОНЕНИЯ</w:t>
            </w:r>
            <w:r>
              <w:rPr>
                <w:webHidden/>
              </w:rPr>
              <w:tab/>
            </w:r>
            <w:r>
              <w:rPr>
                <w:webHidden/>
              </w:rPr>
              <w:fldChar w:fldCharType="begin"/>
            </w:r>
            <w:r>
              <w:rPr>
                <w:webHidden/>
              </w:rPr>
              <w:instrText xml:space="preserve"> PAGEREF _Toc186020111 \h </w:instrText>
            </w:r>
            <w:r>
              <w:rPr>
                <w:webHidden/>
              </w:rPr>
            </w:r>
            <w:r>
              <w:rPr>
                <w:webHidden/>
              </w:rPr>
              <w:fldChar w:fldCharType="separate"/>
            </w:r>
            <w:r>
              <w:rPr>
                <w:webHidden/>
              </w:rPr>
              <w:t>4</w:t>
            </w:r>
            <w:r>
              <w:rPr>
                <w:webHidden/>
              </w:rPr>
              <w:fldChar w:fldCharType="end"/>
            </w:r>
          </w:hyperlink>
        </w:p>
        <w:p w14:paraId="18F1A4E3" w14:textId="6B7CA2D3" w:rsidR="00D95A6D" w:rsidRDefault="00D95A6D">
          <w:pPr>
            <w:pStyle w:val="10"/>
            <w:rPr>
              <w:rFonts w:asciiTheme="minorHAnsi" w:eastAsiaTheme="minorEastAsia" w:hAnsiTheme="minorHAnsi" w:cstheme="minorBidi"/>
              <w:sz w:val="22"/>
              <w:szCs w:val="22"/>
              <w:lang w:eastAsia="ru-RU"/>
            </w:rPr>
          </w:pPr>
          <w:hyperlink w:anchor="_Toc186020112" w:history="1">
            <w:r w:rsidRPr="00967B74">
              <w:rPr>
                <w:rStyle w:val="ab"/>
              </w:rPr>
              <w:t>9.</w:t>
            </w:r>
            <w:r>
              <w:rPr>
                <w:rFonts w:asciiTheme="minorHAnsi" w:eastAsiaTheme="minorEastAsia" w:hAnsiTheme="minorHAnsi" w:cstheme="minorBidi"/>
                <w:sz w:val="22"/>
                <w:szCs w:val="22"/>
                <w:lang w:eastAsia="ru-RU"/>
              </w:rPr>
              <w:tab/>
            </w:r>
            <w:r w:rsidRPr="00967B74">
              <w:rPr>
                <w:rStyle w:val="ab"/>
              </w:rPr>
              <w:t>ЗАПРОС НА УТОЧНЕНИЕ</w:t>
            </w:r>
            <w:r>
              <w:rPr>
                <w:webHidden/>
              </w:rPr>
              <w:tab/>
            </w:r>
            <w:r>
              <w:rPr>
                <w:webHidden/>
              </w:rPr>
              <w:fldChar w:fldCharType="begin"/>
            </w:r>
            <w:r>
              <w:rPr>
                <w:webHidden/>
              </w:rPr>
              <w:instrText xml:space="preserve"> PAGEREF _Toc186020112 \h </w:instrText>
            </w:r>
            <w:r>
              <w:rPr>
                <w:webHidden/>
              </w:rPr>
            </w:r>
            <w:r>
              <w:rPr>
                <w:webHidden/>
              </w:rPr>
              <w:fldChar w:fldCharType="separate"/>
            </w:r>
            <w:r>
              <w:rPr>
                <w:webHidden/>
              </w:rPr>
              <w:t>4</w:t>
            </w:r>
            <w:r>
              <w:rPr>
                <w:webHidden/>
              </w:rPr>
              <w:fldChar w:fldCharType="end"/>
            </w:r>
          </w:hyperlink>
        </w:p>
        <w:p w14:paraId="094F6771" w14:textId="6890997D" w:rsidR="00D95A6D" w:rsidRDefault="00D95A6D">
          <w:pPr>
            <w:pStyle w:val="10"/>
            <w:rPr>
              <w:rFonts w:asciiTheme="minorHAnsi" w:eastAsiaTheme="minorEastAsia" w:hAnsiTheme="minorHAnsi" w:cstheme="minorBidi"/>
              <w:sz w:val="22"/>
              <w:szCs w:val="22"/>
              <w:lang w:eastAsia="ru-RU"/>
            </w:rPr>
          </w:pPr>
          <w:hyperlink w:anchor="_Toc186020113" w:history="1">
            <w:r w:rsidRPr="00967B74">
              <w:rPr>
                <w:rStyle w:val="ab"/>
              </w:rPr>
              <w:t>10.</w:t>
            </w:r>
            <w:r>
              <w:rPr>
                <w:rFonts w:asciiTheme="minorHAnsi" w:eastAsiaTheme="minorEastAsia" w:hAnsiTheme="minorHAnsi" w:cstheme="minorBidi"/>
                <w:sz w:val="22"/>
                <w:szCs w:val="22"/>
                <w:lang w:eastAsia="ru-RU"/>
              </w:rPr>
              <w:tab/>
            </w:r>
            <w:r w:rsidRPr="00967B74">
              <w:rPr>
                <w:rStyle w:val="ab"/>
              </w:rPr>
              <w:t>ТРЕБОВАНИЯ К ПОДПИСАНИЮ</w:t>
            </w:r>
            <w:r>
              <w:rPr>
                <w:webHidden/>
              </w:rPr>
              <w:tab/>
            </w:r>
            <w:r>
              <w:rPr>
                <w:webHidden/>
              </w:rPr>
              <w:fldChar w:fldCharType="begin"/>
            </w:r>
            <w:r>
              <w:rPr>
                <w:webHidden/>
              </w:rPr>
              <w:instrText xml:space="preserve"> PAGEREF _Toc186020113 \h </w:instrText>
            </w:r>
            <w:r>
              <w:rPr>
                <w:webHidden/>
              </w:rPr>
            </w:r>
            <w:r>
              <w:rPr>
                <w:webHidden/>
              </w:rPr>
              <w:fldChar w:fldCharType="separate"/>
            </w:r>
            <w:r>
              <w:rPr>
                <w:webHidden/>
              </w:rPr>
              <w:t>5</w:t>
            </w:r>
            <w:r>
              <w:rPr>
                <w:webHidden/>
              </w:rPr>
              <w:fldChar w:fldCharType="end"/>
            </w:r>
          </w:hyperlink>
        </w:p>
        <w:p w14:paraId="46401EC3" w14:textId="1F267ABB" w:rsidR="00D95A6D" w:rsidRDefault="00D95A6D">
          <w:pPr>
            <w:pStyle w:val="10"/>
            <w:rPr>
              <w:rFonts w:asciiTheme="minorHAnsi" w:eastAsiaTheme="minorEastAsia" w:hAnsiTheme="minorHAnsi" w:cstheme="minorBidi"/>
              <w:sz w:val="22"/>
              <w:szCs w:val="22"/>
              <w:lang w:eastAsia="ru-RU"/>
            </w:rPr>
          </w:pPr>
          <w:hyperlink w:anchor="_Toc186020114" w:history="1">
            <w:r w:rsidRPr="00967B74">
              <w:rPr>
                <w:rStyle w:val="ab"/>
              </w:rPr>
              <w:t>11.</w:t>
            </w:r>
            <w:r>
              <w:rPr>
                <w:rFonts w:asciiTheme="minorHAnsi" w:eastAsiaTheme="minorEastAsia" w:hAnsiTheme="minorHAnsi" w:cstheme="minorBidi"/>
                <w:sz w:val="22"/>
                <w:szCs w:val="22"/>
                <w:lang w:eastAsia="ru-RU"/>
              </w:rPr>
              <w:tab/>
            </w:r>
            <w:r w:rsidRPr="00967B74">
              <w:rPr>
                <w:rStyle w:val="ab"/>
              </w:rPr>
              <w:t>ПОБЕДИТЕЛЬ ТЕНДЕРА</w:t>
            </w:r>
            <w:r>
              <w:rPr>
                <w:webHidden/>
              </w:rPr>
              <w:tab/>
            </w:r>
            <w:r>
              <w:rPr>
                <w:webHidden/>
              </w:rPr>
              <w:fldChar w:fldCharType="begin"/>
            </w:r>
            <w:r>
              <w:rPr>
                <w:webHidden/>
              </w:rPr>
              <w:instrText xml:space="preserve"> PAGEREF _Toc186020114 \h </w:instrText>
            </w:r>
            <w:r>
              <w:rPr>
                <w:webHidden/>
              </w:rPr>
            </w:r>
            <w:r>
              <w:rPr>
                <w:webHidden/>
              </w:rPr>
              <w:fldChar w:fldCharType="separate"/>
            </w:r>
            <w:r>
              <w:rPr>
                <w:webHidden/>
              </w:rPr>
              <w:t>5</w:t>
            </w:r>
            <w:r>
              <w:rPr>
                <w:webHidden/>
              </w:rPr>
              <w:fldChar w:fldCharType="end"/>
            </w:r>
          </w:hyperlink>
        </w:p>
        <w:p w14:paraId="24E8E7F9" w14:textId="57A614BF" w:rsidR="00D95A6D" w:rsidRDefault="00D95A6D">
          <w:pPr>
            <w:pStyle w:val="10"/>
            <w:rPr>
              <w:rFonts w:asciiTheme="minorHAnsi" w:eastAsiaTheme="minorEastAsia" w:hAnsiTheme="minorHAnsi" w:cstheme="minorBidi"/>
              <w:sz w:val="22"/>
              <w:szCs w:val="22"/>
              <w:lang w:eastAsia="ru-RU"/>
            </w:rPr>
          </w:pPr>
          <w:hyperlink w:anchor="_Toc186020115" w:history="1">
            <w:r w:rsidRPr="00967B74">
              <w:rPr>
                <w:rStyle w:val="ab"/>
              </w:rPr>
              <w:t>12.</w:t>
            </w:r>
            <w:r>
              <w:rPr>
                <w:rFonts w:asciiTheme="minorHAnsi" w:eastAsiaTheme="minorEastAsia" w:hAnsiTheme="minorHAnsi" w:cstheme="minorBidi"/>
                <w:sz w:val="22"/>
                <w:szCs w:val="22"/>
                <w:lang w:eastAsia="ru-RU"/>
              </w:rPr>
              <w:tab/>
            </w:r>
            <w:r w:rsidRPr="00967B74">
              <w:rPr>
                <w:rStyle w:val="ab"/>
              </w:rPr>
              <w:t>ПОЛИТИКА КОМПАНИИ</w:t>
            </w:r>
            <w:r>
              <w:rPr>
                <w:webHidden/>
              </w:rPr>
              <w:tab/>
            </w:r>
            <w:r>
              <w:rPr>
                <w:webHidden/>
              </w:rPr>
              <w:fldChar w:fldCharType="begin"/>
            </w:r>
            <w:r>
              <w:rPr>
                <w:webHidden/>
              </w:rPr>
              <w:instrText xml:space="preserve"> PAGEREF _Toc186020115 \h </w:instrText>
            </w:r>
            <w:r>
              <w:rPr>
                <w:webHidden/>
              </w:rPr>
            </w:r>
            <w:r>
              <w:rPr>
                <w:webHidden/>
              </w:rPr>
              <w:fldChar w:fldCharType="separate"/>
            </w:r>
            <w:r>
              <w:rPr>
                <w:webHidden/>
              </w:rPr>
              <w:t>5</w:t>
            </w:r>
            <w:r>
              <w:rPr>
                <w:webHidden/>
              </w:rPr>
              <w:fldChar w:fldCharType="end"/>
            </w:r>
          </w:hyperlink>
        </w:p>
        <w:p w14:paraId="0635F9F3" w14:textId="3C55AEB5"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8" w14:textId="0216EE9F" w:rsidR="00E93AEA" w:rsidRPr="00676479" w:rsidRDefault="00394856" w:rsidP="005506A9">
      <w:pPr>
        <w:pStyle w:val="af0"/>
      </w:pPr>
      <w:r w:rsidRPr="00394856">
        <w:lastRenderedPageBreak/>
        <w:t>Настоящая Инструкция регламентирует порядок представления документов в электронном формате для участия в Малых Тендерах АО «КТК-Р»/ АО «КТК-К» (далее Компании)</w:t>
      </w:r>
      <w:r w:rsidR="00BC55D1" w:rsidRPr="00BC55D1">
        <w:t>.</w:t>
      </w:r>
    </w:p>
    <w:p w14:paraId="3F907CA8" w14:textId="77777777" w:rsidR="00BC55D1" w:rsidRPr="00676479" w:rsidRDefault="00BC55D1" w:rsidP="00BC55D1">
      <w:pPr>
        <w:pStyle w:val="1"/>
      </w:pPr>
      <w:bookmarkStart w:id="0" w:name="_Toc186020104"/>
      <w:r w:rsidRPr="00676479">
        <w:t>ОПРЕДЕЛЕНИЯ</w:t>
      </w:r>
      <w:bookmarkEnd w:id="0"/>
    </w:p>
    <w:p w14:paraId="250B20F5" w14:textId="4CAA8DB5" w:rsidR="00BC55D1" w:rsidRPr="00676479" w:rsidRDefault="00BC55D1" w:rsidP="00BC55D1">
      <w:pPr>
        <w:pStyle w:val="af0"/>
      </w:pPr>
      <w:r w:rsidRPr="00676479">
        <w:t>Во всех случаях применения данно</w:t>
      </w:r>
      <w:r w:rsidR="00733B1F">
        <w:t>й</w:t>
      </w:r>
      <w:r w:rsidRPr="00676479">
        <w:t xml:space="preserve"> </w:t>
      </w:r>
      <w:r w:rsidR="00733B1F">
        <w:t>Инструкции</w:t>
      </w:r>
      <w:r w:rsidRPr="00676479">
        <w:t>, если иное в явной форме не предусмотрено настоящим документом, определенные термины имеют значение, установленное для них в данном Разделе.</w:t>
      </w:r>
    </w:p>
    <w:p w14:paraId="36FC2E5F" w14:textId="77777777" w:rsidR="00BC55D1" w:rsidRPr="00676479" w:rsidRDefault="00BC55D1" w:rsidP="00BC55D1">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38BC46A" w14:textId="77777777" w:rsidR="00BC55D1" w:rsidRPr="00676479" w:rsidRDefault="00BC55D1" w:rsidP="00BC55D1">
      <w:pPr>
        <w:pStyle w:val="af0"/>
      </w:pPr>
      <w:r w:rsidRPr="00676479">
        <w:t xml:space="preserve">Термин </w:t>
      </w:r>
      <w:r w:rsidRPr="005506A9">
        <w:rPr>
          <w:b/>
        </w:rPr>
        <w:t>«Подрядчик</w:t>
      </w:r>
      <w:bookmarkStart w:id="1" w:name="_GoBack"/>
      <w:bookmarkEnd w:id="1"/>
      <w:r w:rsidRPr="005506A9">
        <w:rPr>
          <w:b/>
        </w:rPr>
        <w:t>»</w:t>
      </w:r>
      <w:r w:rsidRPr="00676479">
        <w:t xml:space="preserve"> означает Победителя Тендера.</w:t>
      </w:r>
    </w:p>
    <w:p w14:paraId="23FAB814" w14:textId="77777777" w:rsidR="00BC55D1" w:rsidRPr="00676479" w:rsidRDefault="00BC55D1" w:rsidP="00BC55D1">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64749920" w14:textId="77777777" w:rsidR="00BC55D1" w:rsidRPr="00676479" w:rsidRDefault="00BC55D1" w:rsidP="00BC55D1">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682353DD" w14:textId="77777777" w:rsidR="00BC55D1" w:rsidRPr="00676479" w:rsidRDefault="00BC55D1" w:rsidP="00BC55D1">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подтверждается в письменном виде.</w:t>
      </w:r>
    </w:p>
    <w:p w14:paraId="2E552D10" w14:textId="77777777" w:rsidR="00BC55D1" w:rsidRPr="00676479" w:rsidRDefault="00BC55D1" w:rsidP="00BC55D1">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14AE883F" w14:textId="77777777" w:rsidR="00BC55D1" w:rsidRPr="00676479" w:rsidRDefault="00BC55D1" w:rsidP="00BC55D1">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AD8CAA" w14:textId="77777777" w:rsidR="00BC55D1" w:rsidRPr="00676479" w:rsidRDefault="00BC55D1" w:rsidP="00BC55D1">
      <w:pPr>
        <w:pStyle w:val="af0"/>
      </w:pPr>
      <w:r w:rsidRPr="00676479">
        <w:t xml:space="preserve">Термин </w:t>
      </w:r>
      <w:r w:rsidRPr="005506A9">
        <w:rPr>
          <w:b/>
        </w:rPr>
        <w:t xml:space="preserve">«Запрос на Уточнение» </w:t>
      </w:r>
      <w:r w:rsidRPr="00676479">
        <w:t>означает 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Запроса на предложение или, если требуются технические уточнения по списку материалов.</w:t>
      </w:r>
    </w:p>
    <w:p w14:paraId="4AFA1CF0" w14:textId="77777777" w:rsidR="00BC55D1" w:rsidRPr="00ED072C" w:rsidRDefault="00BC55D1" w:rsidP="00BC55D1">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9F9" w14:textId="77777777" w:rsidR="00E93AEA" w:rsidRPr="005506A9" w:rsidRDefault="00E93AEA" w:rsidP="005506A9">
      <w:pPr>
        <w:pStyle w:val="1"/>
      </w:pPr>
      <w:bookmarkStart w:id="2" w:name="_Toc186020105"/>
      <w:r w:rsidRPr="005506A9">
        <w:t>ПРЕДСТАВЛЕНИЕ ПРЕДЛОЖЕНИЯ</w:t>
      </w:r>
      <w:bookmarkEnd w:id="2"/>
    </w:p>
    <w:p w14:paraId="0635F9FA" w14:textId="0DD5A122" w:rsidR="00E65E20" w:rsidRPr="00676479" w:rsidRDefault="00E65E20" w:rsidP="005506A9">
      <w:pPr>
        <w:pStyle w:val="af0"/>
      </w:pPr>
      <w:r w:rsidRPr="00676479">
        <w:t>Участник Тендера должен представить</w:t>
      </w:r>
      <w:r w:rsidR="00C525CE">
        <w:t xml:space="preserve"> Коммерческое</w:t>
      </w:r>
      <w:r w:rsidRPr="00676479">
        <w:t xml:space="preserve"> предложение </w:t>
      </w:r>
      <w:r w:rsidR="00C525CE">
        <w:t>по теме Тендера</w:t>
      </w:r>
      <w:r w:rsidRPr="00676479">
        <w:t xml:space="preserve"> на основании положений настоящих Инструкций</w:t>
      </w:r>
      <w:r w:rsidR="00F309A6" w:rsidRPr="00676479">
        <w:t xml:space="preserve">, </w:t>
      </w:r>
      <w:r w:rsidR="00C525CE" w:rsidRPr="00676479">
        <w:t>Технического задания</w:t>
      </w:r>
      <w:r w:rsidR="00C525CE">
        <w:t>,</w:t>
      </w:r>
      <w:r w:rsidR="00C525CE" w:rsidRPr="00676479">
        <w:t xml:space="preserve"> </w:t>
      </w:r>
      <w:r w:rsidR="00F309A6" w:rsidRPr="00676479">
        <w:t>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C" w14:textId="198F888C" w:rsidR="00BA4833" w:rsidRDefault="00BA4833" w:rsidP="004E132B">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w:t>
      </w:r>
      <w:r w:rsidR="00733B1F" w:rsidRPr="00733B1F">
        <w:rPr>
          <w:rFonts w:ascii="Times New Roman" w:hAnsi="Times New Roman"/>
        </w:rPr>
        <w:t>Представляемый комплект документов должен быть прошит нитью или лентой, не допускающей разрыва при незначительной нагрузке, закрепленной на обратной стороне лист</w:t>
      </w:r>
      <w:r w:rsidR="00733B1F">
        <w:rPr>
          <w:rFonts w:ascii="Times New Roman" w:hAnsi="Times New Roman"/>
        </w:rPr>
        <w:t>а</w:t>
      </w:r>
      <w:r w:rsidR="00733B1F" w:rsidRPr="00733B1F">
        <w:rPr>
          <w:rFonts w:ascii="Times New Roman" w:hAnsi="Times New Roman"/>
        </w:rPr>
        <w:t xml:space="preserve"> с указанием количества прошитых листов комплекта, должности, Ф.И.О. и подписи лица, уполномоченного для подачи </w:t>
      </w:r>
      <w:r w:rsidR="00733B1F">
        <w:rPr>
          <w:rFonts w:ascii="Times New Roman" w:hAnsi="Times New Roman"/>
        </w:rPr>
        <w:t>Коммерческого</w:t>
      </w:r>
      <w:r w:rsidR="00733B1F" w:rsidRPr="00733B1F">
        <w:rPr>
          <w:rFonts w:ascii="Times New Roman" w:hAnsi="Times New Roman"/>
        </w:rPr>
        <w:t xml:space="preserve"> предложения от имени Участника Тендера.</w:t>
      </w:r>
    </w:p>
    <w:p w14:paraId="44736190" w14:textId="77777777" w:rsidR="00733B1F" w:rsidRDefault="0058449D" w:rsidP="005506A9">
      <w:pPr>
        <w:pStyle w:val="20"/>
        <w:spacing w:before="120"/>
        <w:ind w:left="0" w:firstLine="425"/>
        <w:jc w:val="both"/>
        <w:rPr>
          <w:rFonts w:ascii="Times New Roman" w:hAnsi="Times New Roman"/>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w:t>
      </w:r>
      <w:r w:rsidR="00733B1F">
        <w:rPr>
          <w:rFonts w:ascii="Times New Roman" w:hAnsi="Times New Roman"/>
        </w:rPr>
        <w:t>:</w:t>
      </w:r>
    </w:p>
    <w:p w14:paraId="7B5F2C82" w14:textId="2E8E611B" w:rsidR="00733B1F" w:rsidRDefault="00E65E20" w:rsidP="00293E23">
      <w:pPr>
        <w:pStyle w:val="20"/>
        <w:numPr>
          <w:ilvl w:val="0"/>
          <w:numId w:val="17"/>
        </w:numPr>
        <w:spacing w:before="120"/>
        <w:jc w:val="both"/>
        <w:rPr>
          <w:rFonts w:ascii="Times New Roman" w:hAnsi="Times New Roman"/>
        </w:rPr>
      </w:pPr>
      <w:r w:rsidRPr="00676479">
        <w:rPr>
          <w:rFonts w:ascii="Times New Roman" w:hAnsi="Times New Roman"/>
        </w:rPr>
        <w:t>о</w:t>
      </w:r>
      <w:r w:rsidR="000014BB" w:rsidRPr="000014BB">
        <w:rPr>
          <w:rFonts w:ascii="Times New Roman" w:hAnsi="Times New Roman"/>
        </w:rPr>
        <w:t xml:space="preserve"> </w:t>
      </w:r>
      <w:r w:rsidR="000014BB">
        <w:rPr>
          <w:rFonts w:ascii="Times New Roman" w:hAnsi="Times New Roman"/>
        </w:rPr>
        <w:t xml:space="preserve">поставке или </w:t>
      </w:r>
      <w:r w:rsidR="00A71856">
        <w:rPr>
          <w:rFonts w:ascii="Times New Roman" w:hAnsi="Times New Roman"/>
        </w:rPr>
        <w:t>оказываемых услугах в соответствии с Техническим заданием</w:t>
      </w:r>
      <w:r w:rsidR="004F0C3F">
        <w:rPr>
          <w:rFonts w:ascii="Times New Roman" w:hAnsi="Times New Roman"/>
        </w:rPr>
        <w:t>;</w:t>
      </w:r>
    </w:p>
    <w:p w14:paraId="56945630" w14:textId="2745A367" w:rsidR="00733B1F" w:rsidRDefault="00733B1F" w:rsidP="00293E23">
      <w:pPr>
        <w:pStyle w:val="20"/>
        <w:numPr>
          <w:ilvl w:val="0"/>
          <w:numId w:val="17"/>
        </w:numPr>
        <w:spacing w:before="120"/>
        <w:jc w:val="both"/>
        <w:rPr>
          <w:rFonts w:ascii="Times New Roman" w:hAnsi="Times New Roman"/>
        </w:rPr>
      </w:pPr>
      <w:r>
        <w:rPr>
          <w:rFonts w:ascii="Times New Roman" w:hAnsi="Times New Roman"/>
        </w:rPr>
        <w:t>о сроках поставк</w:t>
      </w:r>
      <w:r w:rsidR="004F0C3F">
        <w:rPr>
          <w:rFonts w:ascii="Times New Roman" w:hAnsi="Times New Roman"/>
        </w:rPr>
        <w:t>и</w:t>
      </w:r>
      <w:r>
        <w:rPr>
          <w:rFonts w:ascii="Times New Roman" w:hAnsi="Times New Roman"/>
        </w:rPr>
        <w:t xml:space="preserve"> или оказания услуг</w:t>
      </w:r>
      <w:r w:rsidR="004F0C3F">
        <w:rPr>
          <w:rFonts w:ascii="Times New Roman" w:hAnsi="Times New Roman"/>
        </w:rPr>
        <w:t>;</w:t>
      </w:r>
    </w:p>
    <w:p w14:paraId="21565611" w14:textId="4EA23BB3" w:rsidR="004F0C3F" w:rsidRDefault="004F0C3F" w:rsidP="00293E23">
      <w:pPr>
        <w:pStyle w:val="20"/>
        <w:numPr>
          <w:ilvl w:val="0"/>
          <w:numId w:val="17"/>
        </w:numPr>
        <w:spacing w:before="120"/>
        <w:jc w:val="both"/>
        <w:rPr>
          <w:rFonts w:ascii="Times New Roman" w:hAnsi="Times New Roman"/>
        </w:rPr>
      </w:pPr>
      <w:r>
        <w:rPr>
          <w:rFonts w:ascii="Times New Roman" w:hAnsi="Times New Roman"/>
        </w:rPr>
        <w:t>о сроках гарантийных обязательств;</w:t>
      </w:r>
    </w:p>
    <w:p w14:paraId="04A99F9B" w14:textId="77777777" w:rsidR="00293E23" w:rsidRDefault="00733B1F" w:rsidP="00293E23">
      <w:pPr>
        <w:pStyle w:val="20"/>
        <w:numPr>
          <w:ilvl w:val="0"/>
          <w:numId w:val="17"/>
        </w:numPr>
        <w:spacing w:before="120"/>
        <w:jc w:val="both"/>
        <w:rPr>
          <w:rFonts w:ascii="Times New Roman" w:hAnsi="Times New Roman"/>
        </w:rPr>
      </w:pPr>
      <w:r>
        <w:rPr>
          <w:rFonts w:ascii="Times New Roman" w:hAnsi="Times New Roman"/>
        </w:rPr>
        <w:t xml:space="preserve">об условиях оплаты (авансовый платеж, </w:t>
      </w:r>
      <w:proofErr w:type="spellStart"/>
      <w:r>
        <w:rPr>
          <w:rFonts w:ascii="Times New Roman" w:hAnsi="Times New Roman"/>
        </w:rPr>
        <w:t>безавансовая</w:t>
      </w:r>
      <w:proofErr w:type="spellEnd"/>
      <w:r>
        <w:rPr>
          <w:rFonts w:ascii="Times New Roman" w:hAnsi="Times New Roman"/>
        </w:rPr>
        <w:t xml:space="preserve"> оплата по факту поставки)</w:t>
      </w:r>
      <w:r w:rsidR="00426A22" w:rsidRPr="00676479">
        <w:rPr>
          <w:rFonts w:ascii="Times New Roman" w:hAnsi="Times New Roman"/>
        </w:rPr>
        <w:t xml:space="preserve">. </w:t>
      </w:r>
    </w:p>
    <w:p w14:paraId="0635F9FD" w14:textId="0F427C5C" w:rsidR="00A161AF" w:rsidRPr="00676479" w:rsidRDefault="00426A22" w:rsidP="005506A9">
      <w:pPr>
        <w:pStyle w:val="20"/>
        <w:spacing w:before="120"/>
        <w:ind w:left="0" w:firstLine="425"/>
        <w:jc w:val="both"/>
        <w:rPr>
          <w:rFonts w:ascii="Times New Roman" w:hAnsi="Times New Roman"/>
          <w:highlight w:val="yellow"/>
        </w:rPr>
      </w:pPr>
      <w:r w:rsidRPr="00676479">
        <w:rPr>
          <w:rFonts w:ascii="Times New Roman" w:hAnsi="Times New Roman"/>
        </w:rPr>
        <w:t>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4F0C3F">
      <w:pPr>
        <w:keepNext/>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606898F3"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sidR="00C525CE">
        <w:rPr>
          <w:rFonts w:ascii="Times New Roman" w:hAnsi="Times New Roman"/>
          <w:b/>
          <w:sz w:val="22"/>
        </w:rPr>
        <w:t xml:space="preserve"> с согласием</w:t>
      </w:r>
      <w:r w:rsidR="00C525CE" w:rsidRPr="001635C1">
        <w:rPr>
          <w:rFonts w:ascii="Times New Roman" w:hAnsi="Times New Roman"/>
          <w:b/>
          <w:sz w:val="22"/>
        </w:rPr>
        <w:t xml:space="preserve"> о соблюдении своими работниками требований «Кодекса делового Поведения </w:t>
      </w:r>
      <w:r w:rsidR="00C525CE" w:rsidRPr="001635C1">
        <w:rPr>
          <w:rFonts w:ascii="Times New Roman" w:hAnsi="Times New Roman"/>
          <w:b/>
          <w:sz w:val="22"/>
        </w:rPr>
        <w:lastRenderedPageBreak/>
        <w:t>КТК», а также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r w:rsidR="00C525CE">
        <w:rPr>
          <w:rFonts w:ascii="Times New Roman" w:hAnsi="Times New Roman"/>
          <w:b/>
          <w:sz w:val="22"/>
        </w:rPr>
        <w:t xml:space="preserve"> </w:t>
      </w:r>
      <w:r>
        <w:rPr>
          <w:rFonts w:ascii="Times New Roman" w:hAnsi="Times New Roman"/>
          <w:b/>
          <w:sz w:val="22"/>
        </w:rPr>
        <w:t>(Приложение № 2);</w:t>
      </w:r>
      <w:r w:rsidR="00C525CE" w:rsidRPr="00C525CE">
        <w:rPr>
          <w:rFonts w:ascii="Times New Roman" w:hAnsi="Times New Roman"/>
          <w:b/>
          <w:sz w:val="22"/>
        </w:rPr>
        <w:t xml:space="preserve"> </w:t>
      </w:r>
    </w:p>
    <w:p w14:paraId="58352183" w14:textId="59B90A70"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4ED404D1" w14:textId="77777777" w:rsidR="004F0C3F" w:rsidRPr="004F0C3F" w:rsidRDefault="004F0C3F" w:rsidP="004F0C3F">
      <w:pPr>
        <w:spacing w:before="120"/>
        <w:ind w:firstLine="425"/>
        <w:jc w:val="both"/>
        <w:rPr>
          <w:rFonts w:ascii="Times New Roman" w:hAnsi="Times New Roman"/>
          <w:sz w:val="22"/>
        </w:rPr>
      </w:pPr>
      <w:r w:rsidRPr="004F0C3F">
        <w:rPr>
          <w:rFonts w:ascii="Times New Roman" w:hAnsi="Times New Roman"/>
          <w:sz w:val="22"/>
        </w:rPr>
        <w:t xml:space="preserve">В случае если Участник Тендера не согласен с предлагаемой формой договора Компании или не согласен следовать принципам Кодекса делового поведения, Компания оставляет за собой право отклонить представленное предложение. </w:t>
      </w: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8" w14:textId="4FA64685" w:rsidR="00E50CA5" w:rsidRPr="0019308F" w:rsidRDefault="00E50CA5" w:rsidP="005506A9">
      <w:pPr>
        <w:spacing w:before="120"/>
        <w:ind w:firstLine="425"/>
        <w:jc w:val="both"/>
        <w:rPr>
          <w:rFonts w:ascii="Times New Roman" w:hAnsi="Times New Roman"/>
          <w:color w:val="FF0000"/>
          <w:sz w:val="22"/>
        </w:rPr>
      </w:pPr>
      <w:bookmarkStart w:id="3" w:name="OLE_LINK2"/>
      <w:r w:rsidRPr="0019308F">
        <w:rPr>
          <w:rFonts w:ascii="Times New Roman" w:hAnsi="Times New Roman"/>
          <w:color w:val="FF0000"/>
          <w:sz w:val="22"/>
        </w:rPr>
        <w:t xml:space="preserve">Электронные </w:t>
      </w:r>
      <w:r w:rsidR="0019308F" w:rsidRPr="0019308F">
        <w:rPr>
          <w:rFonts w:ascii="Times New Roman" w:hAnsi="Times New Roman"/>
          <w:color w:val="FF0000"/>
          <w:sz w:val="22"/>
        </w:rPr>
        <w:t>версии</w:t>
      </w:r>
      <w:r w:rsidRPr="0019308F">
        <w:rPr>
          <w:rFonts w:ascii="Times New Roman" w:hAnsi="Times New Roman"/>
          <w:color w:val="FF0000"/>
          <w:sz w:val="22"/>
        </w:rPr>
        <w:t xml:space="preserve"> представляемых документов следует направлять по адресу электронной почты: </w:t>
      </w:r>
      <w:r w:rsidR="00257DE0" w:rsidRPr="0019308F">
        <w:rPr>
          <w:rFonts w:ascii="Times New Roman" w:hAnsi="Times New Roman"/>
          <w:color w:val="0070C0"/>
          <w:sz w:val="22"/>
          <w:lang w:val="en-US"/>
        </w:rPr>
        <w:t>v</w:t>
      </w:r>
      <w:proofErr w:type="spellStart"/>
      <w:r w:rsidR="00257DE0" w:rsidRPr="0019308F">
        <w:rPr>
          <w:rFonts w:ascii="Times New Roman" w:hAnsi="Times New Roman"/>
          <w:color w:val="0070C0"/>
          <w:sz w:val="22"/>
        </w:rPr>
        <w:t>adim</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kardanov</w:t>
      </w:r>
      <w:proofErr w:type="spellEnd"/>
      <w:r w:rsidR="00257DE0" w:rsidRPr="0019308F">
        <w:rPr>
          <w:rFonts w:ascii="Times New Roman" w:hAnsi="Times New Roman"/>
          <w:color w:val="0070C0"/>
          <w:sz w:val="22"/>
        </w:rPr>
        <w:t>@cpcpipe.ru</w:t>
      </w:r>
      <w:r w:rsidR="00257DE0" w:rsidRPr="0019308F">
        <w:rPr>
          <w:rFonts w:ascii="Times New Roman" w:hAnsi="Times New Roman"/>
          <w:color w:val="FF0000"/>
          <w:sz w:val="22"/>
        </w:rPr>
        <w:t xml:space="preserve">, копия – </w:t>
      </w:r>
      <w:proofErr w:type="spellStart"/>
      <w:r w:rsidR="00257DE0" w:rsidRPr="0019308F">
        <w:rPr>
          <w:rFonts w:ascii="Times New Roman" w:hAnsi="Times New Roman"/>
          <w:color w:val="0070C0"/>
          <w:sz w:val="22"/>
          <w:lang w:val="en-US"/>
        </w:rPr>
        <w:t>mikhail</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varganov</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cpcpipe</w:t>
      </w:r>
      <w:proofErr w:type="spellEnd"/>
      <w:r w:rsidR="00257DE0" w:rsidRPr="0019308F">
        <w:rPr>
          <w:rFonts w:ascii="Times New Roman" w:hAnsi="Times New Roman"/>
          <w:color w:val="0070C0"/>
          <w:sz w:val="22"/>
        </w:rPr>
        <w:t>.</w:t>
      </w:r>
      <w:proofErr w:type="spellStart"/>
      <w:r w:rsidR="00257DE0" w:rsidRPr="0019308F">
        <w:rPr>
          <w:rFonts w:ascii="Times New Roman" w:hAnsi="Times New Roman"/>
          <w:color w:val="0070C0"/>
          <w:sz w:val="22"/>
          <w:lang w:val="en-US"/>
        </w:rPr>
        <w:t>ru</w:t>
      </w:r>
      <w:proofErr w:type="spellEnd"/>
      <w:r w:rsidR="00257DE0" w:rsidRPr="0019308F">
        <w:rPr>
          <w:rFonts w:ascii="Times New Roman" w:hAnsi="Times New Roman"/>
          <w:color w:val="FF0000"/>
          <w:sz w:val="22"/>
        </w:rPr>
        <w:t xml:space="preserve"> </w:t>
      </w:r>
      <w:r w:rsidR="0019308F" w:rsidRPr="0019308F">
        <w:rPr>
          <w:rFonts w:ascii="Times New Roman" w:hAnsi="Times New Roman"/>
          <w:b/>
          <w:color w:val="FF0000"/>
        </w:rPr>
        <w:t>не позднее срока, указанного в Извещении о проведении Тендера на сайте Компании</w:t>
      </w:r>
      <w:r w:rsidR="0019308F" w:rsidRPr="0019308F">
        <w:rPr>
          <w:rFonts w:ascii="Times New Roman" w:hAnsi="Times New Roman"/>
          <w:color w:val="FF0000"/>
        </w:rPr>
        <w:t xml:space="preserve"> </w:t>
      </w:r>
      <w:r w:rsidR="0019308F" w:rsidRPr="0019308F">
        <w:rPr>
          <w:rFonts w:ascii="Times New Roman" w:hAnsi="Times New Roman"/>
          <w:color w:val="FF0000"/>
          <w:sz w:val="22"/>
        </w:rPr>
        <w:t>- http://www.cpc.ru.</w:t>
      </w:r>
    </w:p>
    <w:p w14:paraId="611C8D74" w14:textId="25208DFB" w:rsidR="004F0C3F" w:rsidRPr="004F0C3F" w:rsidRDefault="00BC55D1" w:rsidP="004F0C3F">
      <w:pPr>
        <w:pStyle w:val="20"/>
        <w:spacing w:before="120"/>
        <w:ind w:left="0" w:firstLine="425"/>
        <w:jc w:val="both"/>
        <w:rPr>
          <w:rFonts w:ascii="Times New Roman" w:hAnsi="Times New Roman"/>
        </w:rPr>
      </w:pPr>
      <w:r>
        <w:rPr>
          <w:rFonts w:ascii="Times New Roman" w:hAnsi="Times New Roman"/>
        </w:rPr>
        <w:t xml:space="preserve">Электронные </w:t>
      </w:r>
      <w:r w:rsidR="0019308F">
        <w:rPr>
          <w:rFonts w:ascii="Times New Roman" w:hAnsi="Times New Roman"/>
        </w:rPr>
        <w:t>версии</w:t>
      </w:r>
      <w:r w:rsidR="005506A9" w:rsidRPr="00676479">
        <w:rPr>
          <w:rFonts w:ascii="Times New Roman" w:hAnsi="Times New Roman"/>
        </w:rPr>
        <w:t xml:space="preserve"> должны быть идентичны оригиналу и могут быть сня</w:t>
      </w:r>
      <w:r w:rsidR="004F0C3F">
        <w:rPr>
          <w:rFonts w:ascii="Times New Roman" w:hAnsi="Times New Roman"/>
        </w:rPr>
        <w:t>ты с оригинала после подписания. К электронным копиям применяются следующие технические требования:</w:t>
      </w:r>
    </w:p>
    <w:p w14:paraId="798A664F" w14:textId="6BA78FE4" w:rsidR="004F0C3F" w:rsidRPr="004F0C3F" w:rsidRDefault="004F0C3F" w:rsidP="0019308F">
      <w:pPr>
        <w:pStyle w:val="20"/>
        <w:spacing w:before="120"/>
        <w:ind w:left="0" w:firstLine="425"/>
        <w:jc w:val="both"/>
        <w:rPr>
          <w:rFonts w:ascii="Times New Roman" w:hAnsi="Times New Roman"/>
        </w:rPr>
      </w:pPr>
      <w:r w:rsidRPr="004F0C3F">
        <w:rPr>
          <w:rFonts w:ascii="Times New Roman" w:hAnsi="Times New Roman"/>
        </w:rPr>
        <w:t>1.</w:t>
      </w:r>
      <w:r w:rsidRPr="004F0C3F">
        <w:rPr>
          <w:rFonts w:ascii="Times New Roman" w:hAnsi="Times New Roman"/>
        </w:rPr>
        <w:tab/>
        <w:t xml:space="preserve">Размер каждого письма не должен превышать 10 Мб (системное ограничение сервера). В случае превышения объема следует разделить письмо на несколько частей, указав в теме письма </w:t>
      </w:r>
      <w:r w:rsidR="00C525CE">
        <w:rPr>
          <w:rFonts w:ascii="Times New Roman" w:hAnsi="Times New Roman"/>
        </w:rPr>
        <w:t>номер</w:t>
      </w:r>
      <w:r w:rsidRPr="004F0C3F">
        <w:rPr>
          <w:rFonts w:ascii="Times New Roman" w:hAnsi="Times New Roman"/>
        </w:rPr>
        <w:t xml:space="preserve"> части.</w:t>
      </w:r>
    </w:p>
    <w:p w14:paraId="4D6C88EB" w14:textId="55760052" w:rsidR="004F0C3F" w:rsidRPr="00676479" w:rsidRDefault="004F0C3F" w:rsidP="004F0C3F">
      <w:pPr>
        <w:pStyle w:val="20"/>
        <w:spacing w:before="120"/>
        <w:ind w:left="0" w:firstLine="425"/>
        <w:jc w:val="both"/>
        <w:rPr>
          <w:rFonts w:ascii="Times New Roman" w:hAnsi="Times New Roman"/>
        </w:rPr>
      </w:pPr>
      <w:r w:rsidRPr="004F0C3F">
        <w:rPr>
          <w:rFonts w:ascii="Times New Roman" w:hAnsi="Times New Roman"/>
        </w:rPr>
        <w:t>2.</w:t>
      </w:r>
      <w:r w:rsidRPr="004F0C3F">
        <w:rPr>
          <w:rFonts w:ascii="Times New Roman" w:hAnsi="Times New Roman"/>
        </w:rPr>
        <w:tab/>
        <w:t>Вложения в письмах должны быть без пароля и макросов, во избежание блокировки системным антивирусом.</w:t>
      </w:r>
    </w:p>
    <w:p w14:paraId="0635FA0A" w14:textId="77777777" w:rsidR="00E93AEA" w:rsidRPr="00676479" w:rsidRDefault="00E93AEA" w:rsidP="005506A9">
      <w:pPr>
        <w:pStyle w:val="1"/>
      </w:pPr>
      <w:bookmarkStart w:id="4" w:name="_Toc186020106"/>
      <w:bookmarkEnd w:id="3"/>
      <w:r w:rsidRPr="00676479">
        <w:t>ПОДГОТОВИТЕЛЬНЫЕ РАСХОДЫ</w:t>
      </w:r>
      <w:bookmarkEnd w:id="4"/>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17" w14:textId="77777777" w:rsidR="00E93AEA" w:rsidRPr="00676479" w:rsidRDefault="00E93AEA" w:rsidP="005506A9">
      <w:pPr>
        <w:pStyle w:val="1"/>
      </w:pPr>
      <w:bookmarkStart w:id="5" w:name="_Toc186020107"/>
      <w:r w:rsidRPr="00676479">
        <w:t>ПОДТВЕРЖДЕНИЕ</w:t>
      </w:r>
      <w:bookmarkEnd w:id="5"/>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186020108"/>
      <w:r w:rsidRPr="00676479">
        <w:t>ПРАВО ВЫБОРА</w:t>
      </w:r>
      <w:bookmarkEnd w:id="6"/>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186020109"/>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8B2A385" w14:textId="77777777" w:rsidR="00236175" w:rsidRPr="00676479" w:rsidRDefault="00236175" w:rsidP="00236175">
      <w:pPr>
        <w:pStyle w:val="1"/>
      </w:pPr>
      <w:bookmarkStart w:id="8" w:name="_Toc186020110"/>
      <w:r w:rsidRPr="00676479">
        <w:lastRenderedPageBreak/>
        <w:t>РАСЦЕНКИ</w:t>
      </w:r>
      <w:bookmarkEnd w:id="8"/>
    </w:p>
    <w:p w14:paraId="1837D1AD" w14:textId="77777777" w:rsidR="00236175" w:rsidRDefault="00236175" w:rsidP="00236175">
      <w:pPr>
        <w:pStyle w:val="af0"/>
      </w:pPr>
      <w:r w:rsidRPr="00676479">
        <w:t>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поставок Участником Тендера в соответствии с положениями настоящего документа.</w:t>
      </w:r>
      <w:r>
        <w:t xml:space="preserve"> </w:t>
      </w:r>
    </w:p>
    <w:p w14:paraId="3073A1B5" w14:textId="77777777" w:rsidR="00236175" w:rsidRDefault="00236175" w:rsidP="00236175">
      <w:pPr>
        <w:pStyle w:val="af0"/>
      </w:pPr>
      <w:r w:rsidRPr="00BC55D1">
        <w:t>Цена Предложения Участника Тендера должна быть указана в рублях без учета НДС. В случае предоставления цены, отличной от рублей, в коммерческом предложении должно быть представлено обоснование использования альтернативной валюты. Цена должна быть зафиксирована минимум в течение 90 дней с даты представления коммерческого предложения.</w:t>
      </w:r>
    </w:p>
    <w:p w14:paraId="5F0F57A5" w14:textId="588AF90F" w:rsidR="00236175" w:rsidRDefault="00236175" w:rsidP="00236175">
      <w:pPr>
        <w:pStyle w:val="af0"/>
      </w:pPr>
      <w:r w:rsidRPr="00BC55D1">
        <w:t xml:space="preserve">Цена Предложения </w:t>
      </w:r>
      <w:r w:rsidRPr="00676479">
        <w:t>должна являться конечной для Компании и включать все применимые налоги и сборы, за исключением НДС.</w:t>
      </w:r>
    </w:p>
    <w:p w14:paraId="6681999A" w14:textId="4105B799" w:rsidR="00236175" w:rsidRPr="00676479" w:rsidRDefault="00236175" w:rsidP="00236175">
      <w:pPr>
        <w:pStyle w:val="af0"/>
      </w:pPr>
      <w:r w:rsidRPr="00236175">
        <w:t xml:space="preserve">Компания сохраняет право запрашивать и получать от Участника Тендера подробную разбивку цен </w:t>
      </w:r>
      <w:r>
        <w:t>Коммерческого</w:t>
      </w:r>
      <w:r w:rsidRPr="00236175">
        <w:t xml:space="preserve"> Предложения. Данное требование может быть реализовано после окончательного согласования стоимости Договора с Победителем Тендера.</w:t>
      </w:r>
    </w:p>
    <w:p w14:paraId="7DE4C3CB" w14:textId="77777777" w:rsidR="00236175" w:rsidRPr="00676479" w:rsidRDefault="00236175" w:rsidP="00236175">
      <w:pPr>
        <w:pStyle w:val="1"/>
      </w:pPr>
      <w:bookmarkStart w:id="9" w:name="_Toc186020111"/>
      <w:r w:rsidRPr="00676479">
        <w:t>ИСКЛЮЧЕНИЯ И ОТКЛОНЕНИЯ</w:t>
      </w:r>
      <w:bookmarkEnd w:id="9"/>
    </w:p>
    <w:p w14:paraId="4C3842E0" w14:textId="77777777" w:rsidR="00236175" w:rsidRPr="00676479" w:rsidRDefault="00236175" w:rsidP="00236175">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Запросе на предложение. Несоблюдение данного условия может быть основанием для отклонения предложения Участника Тендера.</w:t>
      </w:r>
    </w:p>
    <w:p w14:paraId="256A563B" w14:textId="77777777" w:rsidR="00236175" w:rsidRPr="005506A9" w:rsidRDefault="00236175" w:rsidP="00236175">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Запроса на предложение,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7B7ADA84" w14:textId="77777777" w:rsidR="00236175" w:rsidRPr="00676479" w:rsidRDefault="00236175" w:rsidP="00236175">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331DE5ED" w14:textId="77777777" w:rsidR="00236175" w:rsidRPr="00676479" w:rsidRDefault="00236175" w:rsidP="00236175">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1D0A8533" w14:textId="7F27584D" w:rsidR="00236175" w:rsidRDefault="00236175" w:rsidP="00236175">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6DD01CF1" w14:textId="653848B6" w:rsidR="0007159A" w:rsidRPr="0007159A" w:rsidRDefault="0007159A" w:rsidP="0007159A">
      <w:pPr>
        <w:pStyle w:val="1"/>
        <w:ind w:left="0" w:firstLine="0"/>
      </w:pPr>
      <w:bookmarkStart w:id="10" w:name="_Toc186020112"/>
      <w:r w:rsidRPr="0007159A">
        <w:t>ЗАПРОС НА УТОЧНЕНИЕ</w:t>
      </w:r>
      <w:bookmarkEnd w:id="10"/>
    </w:p>
    <w:p w14:paraId="07BD3EBA" w14:textId="23A1D0D9" w:rsidR="0007159A" w:rsidRPr="0007159A" w:rsidRDefault="0007159A" w:rsidP="0007159A">
      <w:pPr>
        <w:pStyle w:val="af0"/>
      </w:pPr>
      <w:r w:rsidRPr="0007159A">
        <w:t>Если Участнику Тендера требуются уточнения по любому из приложений Тендерной документации, Участник Тендера должен уведомить контактное лицо Компании, указанное в извещении о проведении Тендера на сайте www.cpc.ru, заполнив форму Запроса на Уточнение (Приложение №</w:t>
      </w:r>
      <w:r>
        <w:t xml:space="preserve"> </w:t>
      </w:r>
      <w:r w:rsidR="00D95A6D" w:rsidRPr="00D95A6D">
        <w:t>4</w:t>
      </w:r>
      <w:r w:rsidRPr="0007159A">
        <w:t>). Запрос на Уточнение должен быть направлен не позднее 3 (трех) рабочих дней до даты окончания приема Тендерных предложений. Ответы на Запросы на Уточнение предоставляются в форме дополнений к Тендерной документации и становятся доступными одновременно всем Участникам Тендера. Компания не обязана предоставлять, а Участник Тендера не должен опираться на любые устные интерпретации или уточнения по приложениям Тендерной документации.</w:t>
      </w:r>
    </w:p>
    <w:p w14:paraId="49D4EB0B" w14:textId="77777777" w:rsidR="0007159A" w:rsidRPr="00676479" w:rsidRDefault="0007159A" w:rsidP="0007159A">
      <w:pPr>
        <w:pStyle w:val="1"/>
      </w:pPr>
      <w:bookmarkStart w:id="11" w:name="_Toc186020113"/>
      <w:r w:rsidRPr="00676479">
        <w:lastRenderedPageBreak/>
        <w:t>ТРЕБОВАНИЯ К ПОДПИСАНИЮ</w:t>
      </w:r>
      <w:bookmarkEnd w:id="11"/>
    </w:p>
    <w:p w14:paraId="0849EAFA" w14:textId="77777777" w:rsidR="0007159A" w:rsidRDefault="0007159A" w:rsidP="0007159A">
      <w:pPr>
        <w:pStyle w:val="af0"/>
      </w:pPr>
      <w:r>
        <w:t>Предложение Участника Тендера должно быть подписано уполномоченным должностным лицом компании Участника Тендера и заверено печатью компании Участника Тендера. Необходимо указать ФИО и должность подписывающего должностного лица.</w:t>
      </w:r>
    </w:p>
    <w:p w14:paraId="19918330" w14:textId="05BEF9B4" w:rsidR="0007159A" w:rsidRDefault="0007159A" w:rsidP="0007159A">
      <w:pPr>
        <w:pStyle w:val="af0"/>
      </w:pPr>
      <w:r>
        <w:t>В случае возникновении требования со стороны Компании, Участник Тендера обязан предоставить подтверждение полномочий подписанта Тендерного предложения Участника Тендера.</w:t>
      </w:r>
    </w:p>
    <w:p w14:paraId="6E521498" w14:textId="2CB80192" w:rsidR="0007159A" w:rsidRPr="0007159A" w:rsidRDefault="0007159A" w:rsidP="0007159A">
      <w:pPr>
        <w:pStyle w:val="1"/>
      </w:pPr>
      <w:bookmarkStart w:id="12" w:name="_Toc186020114"/>
      <w:r w:rsidRPr="0007159A">
        <w:t>ПОБЕДИТЕЛЬ ТЕНДЕРА</w:t>
      </w:r>
      <w:bookmarkEnd w:id="12"/>
    </w:p>
    <w:p w14:paraId="6943A6E8" w14:textId="19745D5A" w:rsidR="0007159A" w:rsidRPr="0007159A" w:rsidRDefault="0007159A" w:rsidP="0007159A">
      <w:pPr>
        <w:pStyle w:val="af0"/>
      </w:pPr>
      <w:r w:rsidRPr="0007159A">
        <w:t>Компания официальным письмом уведомляет Победителя Тендера и остальных Участников о результатах Тендера. После получения уведомления о признании победителем Тендера, Участник обязан заключить Договор.</w:t>
      </w:r>
    </w:p>
    <w:p w14:paraId="047F0DC0" w14:textId="67CE5854" w:rsidR="0007159A" w:rsidRPr="0007159A" w:rsidRDefault="0007159A" w:rsidP="0007159A">
      <w:pPr>
        <w:pStyle w:val="af0"/>
        <w:rPr>
          <w:spacing w:val="-4"/>
        </w:rPr>
      </w:pPr>
      <w:r w:rsidRPr="0007159A">
        <w:rPr>
          <w:spacing w:val="-4"/>
        </w:rPr>
        <w:t>В случае уклонения Победителя Тендера от подписания Договора в указанные Компанией сроки, а также отказа от каких-либо положений своего Тендерного предложения, либо выдвижения новых условий в дополнение к представленным в Предложении, Участник вносится в список недобросовестных поставщиков АО «КТК-Р» / АО «КТК-К» с наступлением последствий, предусмотренных законодательством Российской Федерации/ Республики Казахстан, в результате чего исключается возможность участия данного контрагента в дальнейших тендерных процедурах АО «КТК-Р» / АО «КТК-К».</w:t>
      </w:r>
    </w:p>
    <w:p w14:paraId="0A7E13EF" w14:textId="79E41BDE" w:rsidR="0007159A" w:rsidRPr="00676479" w:rsidRDefault="0007159A" w:rsidP="0007159A">
      <w:pPr>
        <w:pStyle w:val="af0"/>
      </w:pPr>
      <w:r w:rsidRPr="0007159A">
        <w:t>При наличии предусмотренных настоящим пунктом оснований, Компания вправе определить нового Победителя из числа остальных Участников тендера, либо принять решение о проведении нового Тендера.</w:t>
      </w:r>
    </w:p>
    <w:p w14:paraId="0635FA1F" w14:textId="77777777" w:rsidR="00E93AEA" w:rsidRPr="00676479" w:rsidRDefault="00E93AEA" w:rsidP="005506A9">
      <w:pPr>
        <w:pStyle w:val="1"/>
      </w:pPr>
      <w:bookmarkStart w:id="13" w:name="_Toc186020115"/>
      <w:r w:rsidRPr="00676479">
        <w:t>ПОЛИТИКА КОМПАНИИ</w:t>
      </w:r>
      <w:bookmarkEnd w:id="13"/>
    </w:p>
    <w:p w14:paraId="0635FA20" w14:textId="77777777" w:rsidR="00E93AEA" w:rsidRPr="00676479" w:rsidRDefault="00E93AEA" w:rsidP="005506A9">
      <w:pPr>
        <w:pStyle w:val="af0"/>
        <w:rPr>
          <w:b/>
        </w:rPr>
      </w:pPr>
      <w:r w:rsidRPr="00676479">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C" w14:textId="624D845E" w:rsidR="00E93AEA" w:rsidRPr="00676479" w:rsidRDefault="00E93AEA" w:rsidP="0007159A">
      <w:pPr>
        <w:pStyle w:val="af0"/>
      </w:pPr>
    </w:p>
    <w:sectPr w:rsidR="00E93AEA"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F43A4" w14:textId="77777777" w:rsidR="00A6594B" w:rsidRDefault="00A6594B">
      <w:r>
        <w:separator/>
      </w:r>
    </w:p>
  </w:endnote>
  <w:endnote w:type="continuationSeparator" w:id="0">
    <w:p w14:paraId="3EC86362" w14:textId="77777777" w:rsidR="00A6594B" w:rsidRDefault="00A6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4BA4329E"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D95A6D">
      <w:rPr>
        <w:rStyle w:val="a9"/>
        <w:rFonts w:ascii="Times New Roman CYR" w:hAnsi="Times New Roman CYR"/>
        <w:i/>
        <w:noProof/>
        <w:sz w:val="18"/>
      </w:rPr>
      <w:t>5</w:t>
    </w:r>
    <w:r w:rsidRPr="00676479">
      <w:rPr>
        <w:rStyle w:val="a9"/>
        <w:rFonts w:ascii="Times New Roman CYR" w:hAnsi="Times New Roman CY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D95F0" w14:textId="77777777" w:rsidR="00A6594B" w:rsidRDefault="00A6594B">
      <w:r>
        <w:separator/>
      </w:r>
    </w:p>
  </w:footnote>
  <w:footnote w:type="continuationSeparator" w:id="0">
    <w:p w14:paraId="11213A40" w14:textId="77777777" w:rsidR="00A6594B" w:rsidRDefault="00A65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29D88464"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467D9C" w:rsidRPr="00467D9C">
      <w:rPr>
        <w:sz w:val="16"/>
        <w:lang w:val="en-US"/>
      </w:rPr>
      <w:t>0203-АО</w:t>
    </w:r>
    <w:r w:rsidRPr="00E50CA5">
      <w:rPr>
        <w:sz w:val="16"/>
        <w:lang w:val="en-US"/>
      </w:rPr>
      <w:tab/>
    </w:r>
    <w:proofErr w:type="spellStart"/>
    <w:r w:rsidRPr="00E50CA5">
      <w:rPr>
        <w:sz w:val="16"/>
        <w:lang w:val="en-US"/>
      </w:rPr>
      <w:t>ПРИЛОЖЕНИЕ</w:t>
    </w:r>
    <w:proofErr w:type="spellEnd"/>
    <w:r w:rsidRPr="00E50CA5">
      <w:rPr>
        <w:sz w:val="16"/>
        <w:lang w:val="en-US"/>
      </w:rPr>
      <w:t xml:space="preserve">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2549120C"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w:t>
    </w:r>
    <w:r w:rsidR="00467D9C" w:rsidRPr="00467D9C">
      <w:rPr>
        <w:sz w:val="16"/>
        <w:lang w:val="en-US"/>
      </w:rPr>
      <w:t>0203-АО</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27168F6"/>
    <w:multiLevelType w:val="hybridMultilevel"/>
    <w:tmpl w:val="D96A49CA"/>
    <w:lvl w:ilvl="0" w:tplc="8D9C2B2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2"/>
  </w:num>
  <w:num w:numId="7">
    <w:abstractNumId w:val="7"/>
  </w:num>
  <w:num w:numId="8">
    <w:abstractNumId w:val="3"/>
  </w:num>
  <w:num w:numId="9">
    <w:abstractNumId w:val="8"/>
  </w:num>
  <w:num w:numId="10">
    <w:abstractNumId w:val="9"/>
  </w:num>
  <w:num w:numId="11">
    <w:abstractNumId w:val="5"/>
  </w:num>
  <w:num w:numId="12">
    <w:abstractNumId w:val="10"/>
  </w:num>
  <w:num w:numId="13">
    <w:abstractNumId w:val="0"/>
  </w:num>
  <w:num w:numId="14">
    <w:abstractNumId w:val="12"/>
  </w:num>
  <w:num w:numId="15">
    <w:abstractNumId w:val="4"/>
  </w:num>
  <w:num w:numId="16">
    <w:abstractNumId w:val="1"/>
  </w:num>
  <w:num w:numId="17">
    <w:abstractNumId w:val="6"/>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14BB"/>
    <w:rsid w:val="00003963"/>
    <w:rsid w:val="000207BE"/>
    <w:rsid w:val="0002218D"/>
    <w:rsid w:val="000454B7"/>
    <w:rsid w:val="000549A8"/>
    <w:rsid w:val="00067448"/>
    <w:rsid w:val="000677BE"/>
    <w:rsid w:val="0007159A"/>
    <w:rsid w:val="00072DE5"/>
    <w:rsid w:val="00074FAD"/>
    <w:rsid w:val="000844AF"/>
    <w:rsid w:val="000867B3"/>
    <w:rsid w:val="00096CCF"/>
    <w:rsid w:val="0011376D"/>
    <w:rsid w:val="001158BB"/>
    <w:rsid w:val="00124A9C"/>
    <w:rsid w:val="00132018"/>
    <w:rsid w:val="00141337"/>
    <w:rsid w:val="00141A8D"/>
    <w:rsid w:val="0014267B"/>
    <w:rsid w:val="001635C1"/>
    <w:rsid w:val="00164CF5"/>
    <w:rsid w:val="001663CD"/>
    <w:rsid w:val="00167C8A"/>
    <w:rsid w:val="001922D4"/>
    <w:rsid w:val="0019308F"/>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36175"/>
    <w:rsid w:val="00257DE0"/>
    <w:rsid w:val="002618C8"/>
    <w:rsid w:val="0026418B"/>
    <w:rsid w:val="0027519D"/>
    <w:rsid w:val="0028283B"/>
    <w:rsid w:val="00293E23"/>
    <w:rsid w:val="00293FDF"/>
    <w:rsid w:val="002A4F67"/>
    <w:rsid w:val="002A5CC1"/>
    <w:rsid w:val="002B06BC"/>
    <w:rsid w:val="002B0709"/>
    <w:rsid w:val="002B2C15"/>
    <w:rsid w:val="002C6D5C"/>
    <w:rsid w:val="002D0C8B"/>
    <w:rsid w:val="002E2137"/>
    <w:rsid w:val="002E3C56"/>
    <w:rsid w:val="002E45E2"/>
    <w:rsid w:val="002F04EE"/>
    <w:rsid w:val="002F0765"/>
    <w:rsid w:val="00300293"/>
    <w:rsid w:val="0030672B"/>
    <w:rsid w:val="0031554F"/>
    <w:rsid w:val="00317C3B"/>
    <w:rsid w:val="003255CE"/>
    <w:rsid w:val="00336FE4"/>
    <w:rsid w:val="00351783"/>
    <w:rsid w:val="003543BD"/>
    <w:rsid w:val="00363F57"/>
    <w:rsid w:val="003661F2"/>
    <w:rsid w:val="00383D32"/>
    <w:rsid w:val="00393C88"/>
    <w:rsid w:val="00394856"/>
    <w:rsid w:val="00397E1B"/>
    <w:rsid w:val="003B7A25"/>
    <w:rsid w:val="003D1779"/>
    <w:rsid w:val="003D3D04"/>
    <w:rsid w:val="004258B6"/>
    <w:rsid w:val="00426A22"/>
    <w:rsid w:val="0043074D"/>
    <w:rsid w:val="0044062E"/>
    <w:rsid w:val="00454CB9"/>
    <w:rsid w:val="00456D5C"/>
    <w:rsid w:val="00463E8A"/>
    <w:rsid w:val="00467D9C"/>
    <w:rsid w:val="004817E7"/>
    <w:rsid w:val="00484F4D"/>
    <w:rsid w:val="0049719D"/>
    <w:rsid w:val="004B0025"/>
    <w:rsid w:val="004C0621"/>
    <w:rsid w:val="004C21F5"/>
    <w:rsid w:val="004C2B92"/>
    <w:rsid w:val="004E132B"/>
    <w:rsid w:val="004E2C90"/>
    <w:rsid w:val="004F0C3F"/>
    <w:rsid w:val="004F0E87"/>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B65FD"/>
    <w:rsid w:val="005C2578"/>
    <w:rsid w:val="005C3FB1"/>
    <w:rsid w:val="005C610E"/>
    <w:rsid w:val="005F5057"/>
    <w:rsid w:val="00610686"/>
    <w:rsid w:val="006126E4"/>
    <w:rsid w:val="00613BB1"/>
    <w:rsid w:val="0062499E"/>
    <w:rsid w:val="00630272"/>
    <w:rsid w:val="0063361A"/>
    <w:rsid w:val="006354ED"/>
    <w:rsid w:val="006368A6"/>
    <w:rsid w:val="0063725B"/>
    <w:rsid w:val="00650676"/>
    <w:rsid w:val="00672F5C"/>
    <w:rsid w:val="006762EC"/>
    <w:rsid w:val="00676479"/>
    <w:rsid w:val="006B2CA9"/>
    <w:rsid w:val="006C3785"/>
    <w:rsid w:val="006C4EE5"/>
    <w:rsid w:val="006D403A"/>
    <w:rsid w:val="006E5CE2"/>
    <w:rsid w:val="006E5F53"/>
    <w:rsid w:val="006F0FF7"/>
    <w:rsid w:val="006F24A4"/>
    <w:rsid w:val="00701C37"/>
    <w:rsid w:val="00712EC5"/>
    <w:rsid w:val="0072316A"/>
    <w:rsid w:val="007233E8"/>
    <w:rsid w:val="00730624"/>
    <w:rsid w:val="00733B1F"/>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63D15"/>
    <w:rsid w:val="00973E3C"/>
    <w:rsid w:val="009909DF"/>
    <w:rsid w:val="009942B2"/>
    <w:rsid w:val="009A5BAF"/>
    <w:rsid w:val="009B3554"/>
    <w:rsid w:val="009C0728"/>
    <w:rsid w:val="009C66A3"/>
    <w:rsid w:val="009F0F9D"/>
    <w:rsid w:val="009F31EB"/>
    <w:rsid w:val="009F72FB"/>
    <w:rsid w:val="00A161AF"/>
    <w:rsid w:val="00A2009D"/>
    <w:rsid w:val="00A305C1"/>
    <w:rsid w:val="00A42151"/>
    <w:rsid w:val="00A47241"/>
    <w:rsid w:val="00A47435"/>
    <w:rsid w:val="00A502EF"/>
    <w:rsid w:val="00A64174"/>
    <w:rsid w:val="00A6594B"/>
    <w:rsid w:val="00A70FC6"/>
    <w:rsid w:val="00A71856"/>
    <w:rsid w:val="00A75137"/>
    <w:rsid w:val="00A75F13"/>
    <w:rsid w:val="00A8049C"/>
    <w:rsid w:val="00A82DB4"/>
    <w:rsid w:val="00A90CF3"/>
    <w:rsid w:val="00A97910"/>
    <w:rsid w:val="00AA11AC"/>
    <w:rsid w:val="00AA2011"/>
    <w:rsid w:val="00AA5FA2"/>
    <w:rsid w:val="00AA63AF"/>
    <w:rsid w:val="00AB25FD"/>
    <w:rsid w:val="00AB30B0"/>
    <w:rsid w:val="00AC7021"/>
    <w:rsid w:val="00AE2B9A"/>
    <w:rsid w:val="00AE61EB"/>
    <w:rsid w:val="00AE71FC"/>
    <w:rsid w:val="00AF66B1"/>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A5A3D"/>
    <w:rsid w:val="00BB0ABD"/>
    <w:rsid w:val="00BC1A86"/>
    <w:rsid w:val="00BC55D1"/>
    <w:rsid w:val="00BE144C"/>
    <w:rsid w:val="00BF77BA"/>
    <w:rsid w:val="00C06B31"/>
    <w:rsid w:val="00C06EFE"/>
    <w:rsid w:val="00C10137"/>
    <w:rsid w:val="00C104B2"/>
    <w:rsid w:val="00C2101E"/>
    <w:rsid w:val="00C40D0C"/>
    <w:rsid w:val="00C525CE"/>
    <w:rsid w:val="00C57BB5"/>
    <w:rsid w:val="00C64E03"/>
    <w:rsid w:val="00C71767"/>
    <w:rsid w:val="00C71DE0"/>
    <w:rsid w:val="00C75245"/>
    <w:rsid w:val="00C94542"/>
    <w:rsid w:val="00CA4D3B"/>
    <w:rsid w:val="00CC6649"/>
    <w:rsid w:val="00CC67D7"/>
    <w:rsid w:val="00CD5C12"/>
    <w:rsid w:val="00CE62AE"/>
    <w:rsid w:val="00CE7AC1"/>
    <w:rsid w:val="00CF01EF"/>
    <w:rsid w:val="00CF2405"/>
    <w:rsid w:val="00D02C6A"/>
    <w:rsid w:val="00D10A0B"/>
    <w:rsid w:val="00D200AA"/>
    <w:rsid w:val="00D23931"/>
    <w:rsid w:val="00D30CCE"/>
    <w:rsid w:val="00D37CD6"/>
    <w:rsid w:val="00D52F97"/>
    <w:rsid w:val="00D57C72"/>
    <w:rsid w:val="00D608FE"/>
    <w:rsid w:val="00D730CC"/>
    <w:rsid w:val="00D8504D"/>
    <w:rsid w:val="00D872AF"/>
    <w:rsid w:val="00D91A30"/>
    <w:rsid w:val="00D9223E"/>
    <w:rsid w:val="00D95A6D"/>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42285"/>
    <w:rsid w:val="00E50CA5"/>
    <w:rsid w:val="00E62B87"/>
    <w:rsid w:val="00E65052"/>
    <w:rsid w:val="00E65E20"/>
    <w:rsid w:val="00E65E36"/>
    <w:rsid w:val="00E7594A"/>
    <w:rsid w:val="00E76996"/>
    <w:rsid w:val="00E82EBF"/>
    <w:rsid w:val="00E847CB"/>
    <w:rsid w:val="00E93AEA"/>
    <w:rsid w:val="00E95104"/>
    <w:rsid w:val="00EA0EDF"/>
    <w:rsid w:val="00EA271B"/>
    <w:rsid w:val="00EC244F"/>
    <w:rsid w:val="00ED072C"/>
    <w:rsid w:val="00ED72A0"/>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4.xml><?xml version="1.0" encoding="utf-8"?>
<ds:datastoreItem xmlns:ds="http://schemas.openxmlformats.org/officeDocument/2006/customXml" ds:itemID="{F524B886-8AE5-4DB5-8DB6-16F50F76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1912</Words>
  <Characters>10901</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12788</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varg0721</cp:lastModifiedBy>
  <cp:revision>4</cp:revision>
  <cp:lastPrinted>2017-05-29T12:59:00Z</cp:lastPrinted>
  <dcterms:created xsi:type="dcterms:W3CDTF">2024-12-25T07:36:00Z</dcterms:created>
  <dcterms:modified xsi:type="dcterms:W3CDTF">2024-12-25T07:56:00Z</dcterms:modified>
</cp:coreProperties>
</file>